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07C5C" w14:textId="77777777" w:rsidR="00CF6F7A" w:rsidRDefault="00CE5A58" w:rsidP="00BB114F">
      <w:pPr>
        <w:jc w:val="center"/>
      </w:pPr>
      <w:r>
        <w:rPr>
          <w:noProof/>
          <w:lang w:eastAsia="pl-PL"/>
        </w:rPr>
        <w:drawing>
          <wp:inline distT="0" distB="0" distL="0" distR="0" wp14:anchorId="77271091" wp14:editId="30B38B1B">
            <wp:extent cx="1809115" cy="1017270"/>
            <wp:effectExtent l="0" t="0" r="0" b="0"/>
            <wp:docPr id="274" name="Obraz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Obraz 2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A179" w14:textId="77777777" w:rsidR="00BB114F" w:rsidRDefault="00BB114F" w:rsidP="00BB114F">
      <w:pPr>
        <w:spacing w:after="120"/>
        <w:ind w:left="360"/>
        <w:rPr>
          <w:rFonts w:ascii="Arial" w:hAnsi="Arial" w:cs="Arial"/>
          <w:b/>
        </w:rPr>
      </w:pPr>
      <w:r w:rsidRPr="007C5148">
        <w:rPr>
          <w:rFonts w:ascii="Arial" w:hAnsi="Arial" w:cs="Arial"/>
          <w:b/>
        </w:rPr>
        <w:t xml:space="preserve">OGŁOSZENIE O </w:t>
      </w:r>
      <w:r>
        <w:rPr>
          <w:rFonts w:ascii="Arial" w:hAnsi="Arial" w:cs="Arial"/>
          <w:b/>
        </w:rPr>
        <w:t xml:space="preserve">ZAPROSZENIU DO SKŁADANIA OFERT </w:t>
      </w:r>
    </w:p>
    <w:p w14:paraId="27E286CF" w14:textId="77777777" w:rsidR="00BB114F" w:rsidRPr="00A61FA7" w:rsidRDefault="00BB114F" w:rsidP="00BB114F">
      <w:pPr>
        <w:spacing w:after="120"/>
        <w:ind w:left="360"/>
        <w:rPr>
          <w:rFonts w:ascii="Arial" w:hAnsi="Arial" w:cs="Arial"/>
          <w:b/>
        </w:rPr>
      </w:pPr>
      <w:r w:rsidRPr="00A61FA7">
        <w:rPr>
          <w:rFonts w:ascii="Arial" w:hAnsi="Arial" w:cs="Arial"/>
          <w:b/>
        </w:rPr>
        <w:t xml:space="preserve">W TRYBIE NEGOCJACJI NIEOGRANICZONYCH </w:t>
      </w:r>
    </w:p>
    <w:p w14:paraId="385A8399" w14:textId="77777777" w:rsidR="00BB114F" w:rsidRPr="007C5148" w:rsidRDefault="00BB114F" w:rsidP="00BB114F">
      <w:pPr>
        <w:spacing w:after="120"/>
        <w:rPr>
          <w:rFonts w:ascii="Arial" w:hAnsi="Arial" w:cs="Arial"/>
          <w:b/>
          <w:i/>
        </w:rPr>
      </w:pPr>
    </w:p>
    <w:p w14:paraId="03775A9B" w14:textId="77777777" w:rsidR="00BB114F" w:rsidRPr="007C5148" w:rsidRDefault="00BB114F" w:rsidP="00BB114F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7C5148">
        <w:rPr>
          <w:rFonts w:ascii="Arial" w:hAnsi="Arial" w:cs="Arial"/>
          <w:b/>
        </w:rPr>
        <w:t>ORGANIZATOR  POSTĘPOWANIA</w:t>
      </w:r>
    </w:p>
    <w:p w14:paraId="14DB8D81" w14:textId="77777777" w:rsidR="006C4F1C" w:rsidRDefault="006C4F1C" w:rsidP="006C4F1C">
      <w:pPr>
        <w:tabs>
          <w:tab w:val="num" w:pos="426"/>
        </w:tabs>
        <w:spacing w:after="120"/>
        <w:ind w:left="426"/>
        <w:jc w:val="both"/>
        <w:rPr>
          <w:rFonts w:ascii="Arial" w:hAnsi="Arial" w:cs="Arial"/>
        </w:rPr>
      </w:pPr>
      <w:r w:rsidRPr="006C4F1C">
        <w:rPr>
          <w:rFonts w:ascii="Arial" w:hAnsi="Arial" w:cs="Arial"/>
        </w:rPr>
        <w:t>Krajowa Grupa Spożywcza S.A. z siedzibą w Toruniu (87-100), ul. Kraszewskiego 40, wpisana do rejestru przedsiębiorców prowadzonego przez Sąd Rejonowy w Toruniu VII Wydział Gospodarczy Krajowego Rejestru Sądowego pod numerem KRS 0000084678, o kapitale zakładowym w pełni opłaconym w wysokości 1.295.817.566 zł, NIP 956-10-40-510, BDO 000009141, zwana dalej również „Organizatorem” lub  „Zamawiającym”.</w:t>
      </w:r>
    </w:p>
    <w:p w14:paraId="45D0533F" w14:textId="77777777" w:rsidR="006C4F1C" w:rsidRPr="00BA48A6" w:rsidRDefault="006C4F1C" w:rsidP="006C4F1C">
      <w:pPr>
        <w:numPr>
          <w:ilvl w:val="0"/>
          <w:numId w:val="1"/>
        </w:numPr>
        <w:tabs>
          <w:tab w:val="num" w:pos="709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PRZEDMIOT POSTĘPOWANIA I JEGO ZAKRES </w:t>
      </w:r>
    </w:p>
    <w:p w14:paraId="4D3AF10D" w14:textId="3D3C446D" w:rsidR="006C4F1C" w:rsidRPr="00192500" w:rsidRDefault="009B639D" w:rsidP="00841378">
      <w:pPr>
        <w:ind w:left="426"/>
        <w:jc w:val="both"/>
        <w:rPr>
          <w:rFonts w:ascii="Arial" w:hAnsi="Arial" w:cs="Arial"/>
          <w:b/>
        </w:rPr>
      </w:pPr>
      <w:r w:rsidRPr="00841378">
        <w:rPr>
          <w:rFonts w:ascii="Arial" w:hAnsi="Arial" w:cs="Arial"/>
        </w:rPr>
        <w:t xml:space="preserve">Przedmiotem postępowania jest </w:t>
      </w:r>
      <w:r w:rsidR="008E7CA1" w:rsidRPr="006B0749">
        <w:rPr>
          <w:rFonts w:ascii="Arial" w:hAnsi="Arial" w:cs="Arial"/>
        </w:rPr>
        <w:t>wykonanie</w:t>
      </w:r>
      <w:r w:rsidR="00CE4E06" w:rsidRPr="00841378">
        <w:rPr>
          <w:rFonts w:ascii="Arial" w:hAnsi="Arial" w:cs="Arial"/>
          <w:b/>
        </w:rPr>
        <w:t xml:space="preserve"> </w:t>
      </w:r>
      <w:r w:rsidR="006B0749">
        <w:rPr>
          <w:rFonts w:ascii="Arial" w:hAnsi="Arial" w:cs="Arial"/>
        </w:rPr>
        <w:t>w ramach</w:t>
      </w:r>
      <w:r w:rsidR="006B0749" w:rsidRPr="00D51ABD">
        <w:rPr>
          <w:rFonts w:ascii="Arial" w:hAnsi="Arial" w:cs="Arial"/>
        </w:rPr>
        <w:t xml:space="preserve"> real</w:t>
      </w:r>
      <w:r w:rsidR="006B0749">
        <w:rPr>
          <w:rFonts w:ascii="Arial" w:hAnsi="Arial" w:cs="Arial"/>
        </w:rPr>
        <w:t xml:space="preserve">izacji zadania inwestycyjnego </w:t>
      </w:r>
      <w:r w:rsidR="006B0749" w:rsidRPr="00D51ABD">
        <w:rPr>
          <w:rFonts w:ascii="Arial" w:hAnsi="Arial" w:cs="Arial"/>
        </w:rPr>
        <w:t xml:space="preserve">w Oddziale Krajowej Grupy Spożywczej S.A. „Cukrownia Krasnystaw” </w:t>
      </w:r>
      <w:r w:rsidR="00CE4E06" w:rsidRPr="00841378">
        <w:rPr>
          <w:rFonts w:ascii="Arial" w:hAnsi="Arial" w:cs="Arial"/>
          <w:b/>
        </w:rPr>
        <w:t xml:space="preserve">Projektu Technicznego </w:t>
      </w:r>
      <w:r w:rsidR="00192500">
        <w:rPr>
          <w:rFonts w:ascii="Arial" w:hAnsi="Arial" w:cs="Arial"/>
          <w:b/>
        </w:rPr>
        <w:t>instalacji do odkładania soku gęstego,</w:t>
      </w:r>
      <w:r w:rsidR="002A767C" w:rsidRPr="00841378">
        <w:rPr>
          <w:rFonts w:ascii="Arial" w:hAnsi="Arial" w:cs="Arial"/>
        </w:rPr>
        <w:t xml:space="preserve"> </w:t>
      </w:r>
      <w:r w:rsidR="006C4F1C" w:rsidRPr="00841378">
        <w:rPr>
          <w:rFonts w:ascii="Arial" w:hAnsi="Arial" w:cs="Arial"/>
        </w:rPr>
        <w:t xml:space="preserve">na podstawie specyfikacji technicznej stanowiącej </w:t>
      </w:r>
      <w:r w:rsidR="006C4F1C" w:rsidRPr="00841378">
        <w:rPr>
          <w:rFonts w:ascii="Arial" w:hAnsi="Arial" w:cs="Arial"/>
          <w:i/>
        </w:rPr>
        <w:t>Załącznik nr 1</w:t>
      </w:r>
      <w:r w:rsidR="006C4F1C" w:rsidRPr="00841378">
        <w:rPr>
          <w:rFonts w:ascii="Arial" w:hAnsi="Arial" w:cs="Arial"/>
        </w:rPr>
        <w:t xml:space="preserve"> do niniejszego Ogłoszenia.</w:t>
      </w:r>
      <w:r w:rsidR="00192500">
        <w:rPr>
          <w:rFonts w:ascii="Arial" w:hAnsi="Arial" w:cs="Arial"/>
        </w:rPr>
        <w:t xml:space="preserve"> </w:t>
      </w:r>
      <w:r w:rsidR="00192500" w:rsidRPr="006B0749">
        <w:rPr>
          <w:rFonts w:ascii="Arial" w:hAnsi="Arial" w:cs="Arial"/>
        </w:rPr>
        <w:t>Integralną częścią prowadzonego postępowania jest wykonanie Projektu Koncepcyjnego, który po zatwierdzeniu przez Organizatora postępowania będzie podstawą do wykonania przedmiotu postępowania</w:t>
      </w:r>
      <w:r w:rsidR="009E4DDF" w:rsidRPr="006B0749">
        <w:rPr>
          <w:rFonts w:ascii="Arial" w:hAnsi="Arial" w:cs="Arial"/>
        </w:rPr>
        <w:t>.</w:t>
      </w:r>
      <w:r w:rsidR="006B0749">
        <w:rPr>
          <w:rFonts w:ascii="Arial" w:hAnsi="Arial" w:cs="Arial"/>
          <w:b/>
        </w:rPr>
        <w:t xml:space="preserve"> </w:t>
      </w:r>
    </w:p>
    <w:p w14:paraId="693E5AC2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MIEJSCE, TERMIN I TRYB SKŁADANIA OFERT</w:t>
      </w:r>
    </w:p>
    <w:p w14:paraId="182CB8EB" w14:textId="2E8FD62E" w:rsidR="006C4F1C" w:rsidRPr="002A767C" w:rsidRDefault="006C4F1C" w:rsidP="006C4F1C">
      <w:pPr>
        <w:numPr>
          <w:ilvl w:val="1"/>
          <w:numId w:val="1"/>
        </w:numPr>
        <w:tabs>
          <w:tab w:val="clear" w:pos="1425"/>
          <w:tab w:val="left" w:pos="567"/>
          <w:tab w:val="num" w:pos="858"/>
          <w:tab w:val="left" w:pos="993"/>
          <w:tab w:val="left" w:pos="1701"/>
        </w:tabs>
        <w:spacing w:after="120" w:line="240" w:lineRule="auto"/>
        <w:ind w:left="993" w:hanging="567"/>
        <w:jc w:val="both"/>
        <w:rPr>
          <w:rFonts w:ascii="Arial" w:hAnsi="Arial" w:cs="Arial"/>
          <w:b/>
        </w:rPr>
      </w:pPr>
      <w:r w:rsidRPr="0026551C">
        <w:rPr>
          <w:rFonts w:ascii="Arial" w:hAnsi="Arial" w:cs="Arial"/>
        </w:rPr>
        <w:t xml:space="preserve">Pisemną ofertę należy złożyć w Oddziale Krajowej </w:t>
      </w:r>
      <w:r>
        <w:rPr>
          <w:rFonts w:ascii="Arial" w:hAnsi="Arial" w:cs="Arial"/>
        </w:rPr>
        <w:t>Grupy Spożywczej</w:t>
      </w:r>
      <w:r w:rsidRPr="0026551C">
        <w:rPr>
          <w:rFonts w:ascii="Arial" w:hAnsi="Arial" w:cs="Arial"/>
        </w:rPr>
        <w:t xml:space="preserve"> S.A. „Cukrownia Krasnystaw” w Siennicy Nadolnej, w nieprzekraczalnym terminie </w:t>
      </w:r>
      <w:r w:rsidRPr="002A767C">
        <w:rPr>
          <w:rFonts w:ascii="Arial" w:hAnsi="Arial" w:cs="Arial"/>
          <w:b/>
        </w:rPr>
        <w:t xml:space="preserve">do dnia </w:t>
      </w:r>
      <w:r w:rsidR="00192500">
        <w:rPr>
          <w:rFonts w:ascii="Arial" w:hAnsi="Arial" w:cs="Arial"/>
          <w:b/>
        </w:rPr>
        <w:t>30.07.2025 r. do godz. 14</w:t>
      </w:r>
      <w:r w:rsidRPr="002A767C">
        <w:rPr>
          <w:rFonts w:ascii="Arial" w:hAnsi="Arial" w:cs="Arial"/>
          <w:b/>
        </w:rPr>
        <w:t>.00.</w:t>
      </w:r>
    </w:p>
    <w:p w14:paraId="06BECD31" w14:textId="54197F9A" w:rsidR="006C4F1C" w:rsidRPr="002A767C" w:rsidRDefault="006C4F1C" w:rsidP="006C4F1C">
      <w:pPr>
        <w:numPr>
          <w:ilvl w:val="1"/>
          <w:numId w:val="1"/>
        </w:numPr>
        <w:tabs>
          <w:tab w:val="clear" w:pos="1425"/>
          <w:tab w:val="left" w:pos="567"/>
          <w:tab w:val="num" w:pos="858"/>
          <w:tab w:val="left" w:pos="993"/>
        </w:tabs>
        <w:spacing w:after="120" w:line="240" w:lineRule="auto"/>
        <w:ind w:left="993" w:hanging="567"/>
        <w:jc w:val="both"/>
        <w:rPr>
          <w:rFonts w:ascii="Arial" w:hAnsi="Arial" w:cs="Arial"/>
          <w:b/>
        </w:rPr>
      </w:pPr>
      <w:r w:rsidRPr="0026551C">
        <w:rPr>
          <w:rFonts w:ascii="Arial" w:hAnsi="Arial" w:cs="Arial"/>
        </w:rPr>
        <w:t xml:space="preserve">W przypadku przesłania oferty pocztą musi ona wpłynąć do miejsca wskazanego w pkt. 3.1. </w:t>
      </w:r>
      <w:r w:rsidRPr="0026551C">
        <w:rPr>
          <w:rFonts w:ascii="Arial" w:hAnsi="Arial" w:cs="Arial"/>
        </w:rPr>
        <w:br/>
        <w:t xml:space="preserve">w terminie do dnia </w:t>
      </w:r>
      <w:r w:rsidR="00192500">
        <w:rPr>
          <w:rFonts w:ascii="Arial" w:hAnsi="Arial" w:cs="Arial"/>
          <w:b/>
        </w:rPr>
        <w:t>30.07.2025 r. do godz. 14</w:t>
      </w:r>
      <w:r w:rsidRPr="002A767C">
        <w:rPr>
          <w:rFonts w:ascii="Arial" w:hAnsi="Arial" w:cs="Arial"/>
          <w:b/>
        </w:rPr>
        <w:t>.00.</w:t>
      </w:r>
    </w:p>
    <w:p w14:paraId="60D27EA8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 I TERMIN OTWARCIA OFERT</w:t>
      </w:r>
    </w:p>
    <w:p w14:paraId="0651D32B" w14:textId="2BD4936B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Otwarcie ofert odbędzie się w </w:t>
      </w:r>
      <w:r>
        <w:rPr>
          <w:rFonts w:ascii="Arial" w:hAnsi="Arial" w:cs="Arial"/>
        </w:rPr>
        <w:t>Oddziale Krajowej Grupy Spożywczej S.A.</w:t>
      </w:r>
      <w:r w:rsidRPr="00BA48A6">
        <w:rPr>
          <w:rFonts w:ascii="Arial" w:hAnsi="Arial" w:cs="Arial"/>
        </w:rPr>
        <w:t xml:space="preserve"> „Cukrownia Krasnystaw” w Siennicy Nadolnej,  dnia </w:t>
      </w:r>
      <w:r w:rsidR="00192500">
        <w:rPr>
          <w:rFonts w:ascii="Arial" w:hAnsi="Arial" w:cs="Arial"/>
          <w:b/>
        </w:rPr>
        <w:t>31.07.2025</w:t>
      </w:r>
      <w:r w:rsidRPr="007077C0">
        <w:rPr>
          <w:rFonts w:ascii="Arial" w:hAnsi="Arial" w:cs="Arial"/>
          <w:b/>
        </w:rPr>
        <w:t xml:space="preserve"> r. o godz. 9.00</w:t>
      </w:r>
      <w:r w:rsidRPr="00BA48A6">
        <w:rPr>
          <w:rFonts w:ascii="Arial" w:hAnsi="Arial" w:cs="Arial"/>
        </w:rPr>
        <w:t xml:space="preserve"> W otwarciu ofert uczestniczą wyłącznie przedstawiciele Organizatora.</w:t>
      </w:r>
    </w:p>
    <w:p w14:paraId="0C1ECDD3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Oferty, które zostaną dostarczone lub przesłane po terminie, jako odrzucone nie zostaną otwarte i zostaną niezwłocznie zwrócone.</w:t>
      </w:r>
    </w:p>
    <w:p w14:paraId="14CAC9C8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TERMIN ZWIĄZANIA OFERTĄ</w:t>
      </w:r>
    </w:p>
    <w:p w14:paraId="42ABC4FD" w14:textId="77777777" w:rsidR="006C4F1C" w:rsidRPr="00BA48A6" w:rsidRDefault="006C4F1C" w:rsidP="006C4F1C">
      <w:pPr>
        <w:spacing w:after="120"/>
        <w:ind w:left="426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Oferenci będą</w:t>
      </w:r>
      <w:r w:rsidRPr="00BA48A6">
        <w:rPr>
          <w:rFonts w:ascii="Arial" w:eastAsia="TimesNewRoman" w:hAnsi="Arial" w:cs="Arial"/>
        </w:rPr>
        <w:t xml:space="preserve"> </w:t>
      </w:r>
      <w:r w:rsidRPr="00BA48A6">
        <w:rPr>
          <w:rFonts w:ascii="Arial" w:hAnsi="Arial" w:cs="Arial"/>
        </w:rPr>
        <w:t>zwi</w:t>
      </w:r>
      <w:r w:rsidRPr="00BA48A6">
        <w:rPr>
          <w:rFonts w:ascii="Arial" w:eastAsia="TimesNewRoman" w:hAnsi="Arial" w:cs="Arial"/>
        </w:rPr>
        <w:t>ą</w:t>
      </w:r>
      <w:r w:rsidRPr="00BA48A6">
        <w:rPr>
          <w:rFonts w:ascii="Arial" w:hAnsi="Arial" w:cs="Arial"/>
        </w:rPr>
        <w:t>zani swoj</w:t>
      </w:r>
      <w:r w:rsidRPr="00BA48A6">
        <w:rPr>
          <w:rFonts w:ascii="Arial" w:eastAsia="TimesNewRoman" w:hAnsi="Arial" w:cs="Arial"/>
        </w:rPr>
        <w:t>ą o</w:t>
      </w:r>
      <w:r w:rsidRPr="00BA48A6">
        <w:rPr>
          <w:rFonts w:ascii="Arial" w:hAnsi="Arial" w:cs="Arial"/>
        </w:rPr>
        <w:t>fert</w:t>
      </w:r>
      <w:r w:rsidRPr="00BA48A6">
        <w:rPr>
          <w:rFonts w:ascii="Arial" w:eastAsia="TimesNewRoman" w:hAnsi="Arial" w:cs="Arial"/>
        </w:rPr>
        <w:t xml:space="preserve">ą </w:t>
      </w:r>
      <w:r w:rsidRPr="00BA48A6">
        <w:rPr>
          <w:rFonts w:ascii="Arial" w:hAnsi="Arial" w:cs="Arial"/>
        </w:rPr>
        <w:t>przez 60 dni, licz</w:t>
      </w:r>
      <w:r w:rsidRPr="00BA48A6">
        <w:rPr>
          <w:rFonts w:ascii="Arial" w:eastAsia="TimesNewRoman" w:hAnsi="Arial" w:cs="Arial"/>
        </w:rPr>
        <w:t>ą</w:t>
      </w:r>
      <w:r w:rsidRPr="00BA48A6">
        <w:rPr>
          <w:rFonts w:ascii="Arial" w:hAnsi="Arial" w:cs="Arial"/>
        </w:rPr>
        <w:t>c od dnia upływu terminu składania ofert.</w:t>
      </w:r>
    </w:p>
    <w:p w14:paraId="52B0F4C0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 I TERMIN WYKONANIA PRAC</w:t>
      </w:r>
    </w:p>
    <w:p w14:paraId="69AA5798" w14:textId="44105952" w:rsidR="006C4F1C" w:rsidRPr="00BA48A6" w:rsidRDefault="00192500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E7CA1">
        <w:rPr>
          <w:rFonts w:ascii="Arial" w:hAnsi="Arial" w:cs="Arial"/>
        </w:rPr>
        <w:t xml:space="preserve">race </w:t>
      </w:r>
      <w:r w:rsidR="00240311">
        <w:rPr>
          <w:rFonts w:ascii="Arial" w:hAnsi="Arial" w:cs="Arial"/>
        </w:rPr>
        <w:t xml:space="preserve"> stanowiące przedmiot postępowania</w:t>
      </w:r>
      <w:r w:rsidR="006C4F1C" w:rsidRPr="00BA48A6">
        <w:rPr>
          <w:rFonts w:ascii="Arial" w:hAnsi="Arial" w:cs="Arial"/>
        </w:rPr>
        <w:t xml:space="preserve"> zostaną wykonane</w:t>
      </w:r>
      <w:r w:rsidR="00CE480B">
        <w:rPr>
          <w:rFonts w:ascii="Arial" w:hAnsi="Arial" w:cs="Arial"/>
        </w:rPr>
        <w:t xml:space="preserve"> przez Oferenta i dostarczone do</w:t>
      </w:r>
      <w:r w:rsidR="006C4F1C" w:rsidRPr="00BA48A6">
        <w:rPr>
          <w:rFonts w:ascii="Arial" w:hAnsi="Arial" w:cs="Arial"/>
        </w:rPr>
        <w:t xml:space="preserve"> </w:t>
      </w:r>
      <w:r w:rsidR="00CE480B">
        <w:rPr>
          <w:rFonts w:ascii="Arial" w:hAnsi="Arial" w:cs="Arial"/>
        </w:rPr>
        <w:t>Oddziału</w:t>
      </w:r>
      <w:r w:rsidR="00192EFB">
        <w:rPr>
          <w:rFonts w:ascii="Arial" w:hAnsi="Arial" w:cs="Arial"/>
        </w:rPr>
        <w:t xml:space="preserve"> Zamawiającego „</w:t>
      </w:r>
      <w:r w:rsidR="006C4F1C" w:rsidRPr="00BA48A6">
        <w:rPr>
          <w:rFonts w:ascii="Arial" w:hAnsi="Arial" w:cs="Arial"/>
        </w:rPr>
        <w:t>Cukrowni</w:t>
      </w:r>
      <w:r w:rsidR="00192EFB">
        <w:rPr>
          <w:rFonts w:ascii="Arial" w:hAnsi="Arial" w:cs="Arial"/>
        </w:rPr>
        <w:t xml:space="preserve">a </w:t>
      </w:r>
      <w:r w:rsidR="006C4F1C" w:rsidRPr="00BA48A6">
        <w:rPr>
          <w:rFonts w:ascii="Arial" w:hAnsi="Arial" w:cs="Arial"/>
        </w:rPr>
        <w:t>Krasnystaw”</w:t>
      </w:r>
      <w:r w:rsidR="00192EFB">
        <w:rPr>
          <w:rFonts w:ascii="Arial" w:hAnsi="Arial" w:cs="Arial"/>
        </w:rPr>
        <w:t xml:space="preserve"> w Siennicy Nadolnej</w:t>
      </w:r>
      <w:r w:rsidR="006C4F1C" w:rsidRPr="00BA48A6">
        <w:rPr>
          <w:rFonts w:ascii="Arial" w:hAnsi="Arial" w:cs="Arial"/>
        </w:rPr>
        <w:t xml:space="preserve">. </w:t>
      </w:r>
    </w:p>
    <w:p w14:paraId="46EF46FF" w14:textId="6908BE5B" w:rsidR="006C4F1C" w:rsidRDefault="00CE480B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567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Realizacja przedmiotu</w:t>
      </w:r>
      <w:r w:rsidR="006C4F1C" w:rsidRPr="00BA48A6">
        <w:rPr>
          <w:rFonts w:ascii="Arial" w:hAnsi="Arial" w:cs="Arial"/>
        </w:rPr>
        <w:t xml:space="preserve"> postępowania nastąpi w terminie </w:t>
      </w:r>
      <w:r w:rsidR="006C4F1C" w:rsidRPr="007077C0">
        <w:rPr>
          <w:rFonts w:ascii="Arial" w:hAnsi="Arial" w:cs="Arial"/>
          <w:b/>
        </w:rPr>
        <w:t>do</w:t>
      </w:r>
      <w:r w:rsidR="00192500">
        <w:rPr>
          <w:rFonts w:ascii="Arial" w:hAnsi="Arial" w:cs="Arial"/>
          <w:b/>
        </w:rPr>
        <w:t xml:space="preserve"> 31.1</w:t>
      </w:r>
      <w:r w:rsidR="00CE4E06">
        <w:rPr>
          <w:rFonts w:ascii="Arial" w:hAnsi="Arial" w:cs="Arial"/>
          <w:b/>
        </w:rPr>
        <w:t>2</w:t>
      </w:r>
      <w:r w:rsidR="008E7CA1">
        <w:rPr>
          <w:rFonts w:ascii="Arial" w:hAnsi="Arial" w:cs="Arial"/>
          <w:b/>
        </w:rPr>
        <w:t>.2025</w:t>
      </w:r>
      <w:r w:rsidR="0005293C" w:rsidRPr="007077C0">
        <w:rPr>
          <w:rFonts w:ascii="Arial" w:hAnsi="Arial" w:cs="Arial"/>
          <w:b/>
        </w:rPr>
        <w:t xml:space="preserve"> r.</w:t>
      </w:r>
    </w:p>
    <w:p w14:paraId="6BD5B20D" w14:textId="2425A66E" w:rsidR="009E4DDF" w:rsidRPr="009E4DDF" w:rsidRDefault="0070582B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="009E4DDF" w:rsidRPr="009E4DDF"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r w:rsidR="009E4DDF" w:rsidRPr="009E4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Koncepcyjnego nastąpi</w:t>
      </w:r>
      <w:r w:rsidR="009E4DDF">
        <w:rPr>
          <w:rFonts w:ascii="Arial" w:hAnsi="Arial" w:cs="Arial"/>
        </w:rPr>
        <w:t xml:space="preserve"> w terminie </w:t>
      </w:r>
      <w:r w:rsidR="009E4DDF" w:rsidRPr="009E4DDF">
        <w:rPr>
          <w:rFonts w:ascii="Arial" w:hAnsi="Arial" w:cs="Arial"/>
          <w:b/>
        </w:rPr>
        <w:t>do 10.10.2025 r.</w:t>
      </w:r>
    </w:p>
    <w:p w14:paraId="64838A3D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NIEZBĘDNE DOKUMENTY I WARUNKI WYMAGANE OD OFERENTÓW</w:t>
      </w:r>
    </w:p>
    <w:p w14:paraId="255B2BB1" w14:textId="77777777" w:rsidR="006C4F1C" w:rsidRPr="00BA48A6" w:rsidRDefault="006C4F1C" w:rsidP="006C4F1C">
      <w:pPr>
        <w:spacing w:after="120"/>
        <w:ind w:left="426"/>
        <w:rPr>
          <w:rFonts w:ascii="Arial" w:hAnsi="Arial" w:cs="Arial"/>
        </w:rPr>
      </w:pPr>
      <w:r w:rsidRPr="00BA48A6">
        <w:rPr>
          <w:rFonts w:ascii="Arial" w:hAnsi="Arial" w:cs="Arial"/>
        </w:rPr>
        <w:t>Oferent powinien dołączyć do oferty:</w:t>
      </w:r>
    </w:p>
    <w:p w14:paraId="35A7DD7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Formularz ofertowy, według wzoru stanowiącego </w:t>
      </w:r>
      <w:r w:rsidRPr="004E650C">
        <w:rPr>
          <w:rFonts w:ascii="Arial" w:hAnsi="Arial" w:cs="Arial"/>
          <w:i/>
          <w:sz w:val="22"/>
          <w:szCs w:val="22"/>
        </w:rPr>
        <w:t>Załącznik nr 2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14:paraId="03E933D2" w14:textId="77777777" w:rsidR="006C4F1C" w:rsidRPr="003F754A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Oświadczenie o treści stanowiącej </w:t>
      </w:r>
      <w:r w:rsidRPr="004E650C">
        <w:rPr>
          <w:rFonts w:ascii="Arial" w:hAnsi="Arial" w:cs="Arial"/>
          <w:i/>
          <w:sz w:val="22"/>
          <w:szCs w:val="22"/>
        </w:rPr>
        <w:t>Załącznik nr 3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14:paraId="2475BB3C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lastRenderedPageBreak/>
        <w:t xml:space="preserve">Oświadczenie o treści stanowiącej </w:t>
      </w:r>
      <w:r w:rsidRPr="004E650C">
        <w:rPr>
          <w:rFonts w:ascii="Arial" w:hAnsi="Arial" w:cs="Arial"/>
          <w:i/>
          <w:sz w:val="22"/>
          <w:szCs w:val="22"/>
        </w:rPr>
        <w:t>Załącznik nr 4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14:paraId="0418AD98" w14:textId="77777777" w:rsidR="003C21AE" w:rsidRPr="003C21AE" w:rsidRDefault="003C21AE" w:rsidP="005047D3">
      <w:pPr>
        <w:pStyle w:val="Akapitzlist"/>
        <w:widowControl w:val="0"/>
        <w:numPr>
          <w:ilvl w:val="1"/>
          <w:numId w:val="1"/>
        </w:numPr>
        <w:tabs>
          <w:tab w:val="clear" w:pos="1425"/>
          <w:tab w:val="left" w:pos="993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3C21AE">
        <w:rPr>
          <w:rFonts w:ascii="Arial" w:hAnsi="Arial" w:cs="Arial"/>
          <w:sz w:val="22"/>
          <w:szCs w:val="22"/>
        </w:rPr>
        <w:t>Oświadczenie o treści stanowiącej Załącznik nr 5 do niniejszego Ogłoszenia</w:t>
      </w:r>
    </w:p>
    <w:p w14:paraId="66B32CBC" w14:textId="7DD195A8" w:rsidR="003C21AE" w:rsidRPr="005047D3" w:rsidRDefault="003C21AE" w:rsidP="005047D3">
      <w:pPr>
        <w:pStyle w:val="Akapitzlist"/>
        <w:widowControl w:val="0"/>
        <w:numPr>
          <w:ilvl w:val="1"/>
          <w:numId w:val="1"/>
        </w:numPr>
        <w:tabs>
          <w:tab w:val="clear" w:pos="1425"/>
          <w:tab w:val="left" w:pos="993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3C21AE">
        <w:rPr>
          <w:rFonts w:ascii="Arial" w:hAnsi="Arial" w:cs="Arial"/>
          <w:sz w:val="22"/>
          <w:szCs w:val="22"/>
        </w:rPr>
        <w:t>Podpisany Kodeks Etyki Dostawców o treści stanowiącej Załącznik nr 6 do niniejszego Ogłoszenia</w:t>
      </w:r>
    </w:p>
    <w:p w14:paraId="539CAC43" w14:textId="2C26C729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Aktualny odpis z właściwego rejestru przedsiębiorców wystawiony nie wcześniej niż 3 miesiące przed upływem terminu składania ofert bądź aktualne zaświadczenie o wpisie do Centralnej Ewidencji i Informacji o Działalności Gospodarczej (wydruk ze strony internetowej CEIDG),</w:t>
      </w:r>
    </w:p>
    <w:p w14:paraId="3C895A6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Pełnomocnictwo udzielone osobie składającej ofertę do działania w imieniu Oferenta, chyba że oferta zostanie złożona przez osoby upoważnione do reprezentacji Oferenta na podstawie odpisu z rejestru przedsiębiorców,</w:t>
      </w:r>
    </w:p>
    <w:p w14:paraId="7C5E4056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Aktualne zaświadczenie właściwego naczelnika urzędu skarbowego potwierdzające, że Oferent nie zalega z płaceniem podatków, opłat, wystawione nie wcześniej niż 3 miesiące przed upływem terminu składania ofert,</w:t>
      </w:r>
    </w:p>
    <w:p w14:paraId="46D72D6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przed upływem terminu składania ofert,</w:t>
      </w:r>
    </w:p>
    <w:p w14:paraId="47F5ECE3" w14:textId="3884F23E" w:rsidR="006C4F1C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Prezentację składników cenotwórczych zawierającą rozbicie cenowe na poszczególne procesy/zakresy dostaw</w:t>
      </w:r>
      <w:r w:rsidR="00841378">
        <w:rPr>
          <w:rFonts w:ascii="Arial" w:hAnsi="Arial" w:cs="Arial"/>
          <w:sz w:val="22"/>
          <w:szCs w:val="22"/>
        </w:rPr>
        <w:t>,</w:t>
      </w:r>
    </w:p>
    <w:p w14:paraId="408D8ED7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Harmonogram realizacji poszczególnych procesów/dostaw,</w:t>
      </w:r>
      <w:r>
        <w:rPr>
          <w:rFonts w:ascii="Arial" w:hAnsi="Arial" w:cs="Arial"/>
          <w:sz w:val="22"/>
          <w:szCs w:val="22"/>
        </w:rPr>
        <w:t xml:space="preserve"> z uwzględnieniem terminów, o których</w:t>
      </w:r>
      <w:r w:rsidRPr="00BA48A6">
        <w:rPr>
          <w:rFonts w:ascii="Arial" w:hAnsi="Arial" w:cs="Arial"/>
          <w:sz w:val="22"/>
          <w:szCs w:val="22"/>
        </w:rPr>
        <w:t xml:space="preserve"> mowa w pkt 6.2. niniejszego Ogłoszenia,  </w:t>
      </w:r>
    </w:p>
    <w:p w14:paraId="11ADA7CC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Opis techniczny oferowanego zakresu robót  (aspekt techniczno-organizacyjny),</w:t>
      </w:r>
    </w:p>
    <w:p w14:paraId="4E0B00D8" w14:textId="4C19E2C3" w:rsidR="006C4F1C" w:rsidRPr="00BA48A6" w:rsidRDefault="0010260A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 przed złożeniem oferty powinien przeprowadzić wizję lokalną w celu zapoznania się z warunkami realizacji przedmiotu postępow</w:t>
      </w:r>
      <w:r w:rsidR="006B074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nia,</w:t>
      </w:r>
    </w:p>
    <w:p w14:paraId="172C401A" w14:textId="3DCAA76A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Referencje potwierdzające doświadczenie w realizacji podobnych projektów w okresie ostatnich 5 lat</w:t>
      </w:r>
      <w:r w:rsidR="00AA6896">
        <w:rPr>
          <w:rFonts w:ascii="Arial" w:hAnsi="Arial" w:cs="Arial"/>
          <w:sz w:val="22"/>
          <w:szCs w:val="22"/>
        </w:rPr>
        <w:t>.</w:t>
      </w:r>
    </w:p>
    <w:p w14:paraId="17A3F2ED" w14:textId="77777777" w:rsidR="006C4F1C" w:rsidRPr="00BA48A6" w:rsidRDefault="006C4F1C" w:rsidP="006C4F1C">
      <w:pPr>
        <w:pStyle w:val="Akapitzlist"/>
      </w:pPr>
    </w:p>
    <w:p w14:paraId="07AB1A89" w14:textId="77777777" w:rsidR="006C4F1C" w:rsidRPr="00BA48A6" w:rsidRDefault="006C4F1C" w:rsidP="006C4F1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BA48A6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4A25A23B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składa jedną ofertę.</w:t>
      </w:r>
    </w:p>
    <w:p w14:paraId="20CD8E92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wyłącza możliwość składania ofert przez konsorcja.</w:t>
      </w:r>
    </w:p>
    <w:p w14:paraId="08E3486A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wskazuje datę sporządzenia oferty.</w:t>
      </w:r>
    </w:p>
    <w:p w14:paraId="125DC80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Ofertę należy sporządzić w sposób czytelny, w języku polskim.</w:t>
      </w:r>
    </w:p>
    <w:p w14:paraId="32CF6CE4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nie może zawierać poprawek ani skreśleń. Wszystkie strony oferty wraz z Załącznikami należy kolejno ponumerować.</w:t>
      </w:r>
    </w:p>
    <w:p w14:paraId="5A913115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Wszystkie strony (kartki) zaleca się spiąć (zszyć) w sposób uniemożliwiający dekompletację.</w:t>
      </w:r>
    </w:p>
    <w:p w14:paraId="0F14CCB2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winna w szczególności zawierać dokumenty, o których mowa w pkt. 7 niniejszego Ogłoszenia.</w:t>
      </w:r>
    </w:p>
    <w:p w14:paraId="2BFD88E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Załączniki, w szczególności dokumenty, o których mowa w pkt. 7 niniejszego Ogłoszenia, stanowią integralną część oferty.</w:t>
      </w:r>
    </w:p>
    <w:p w14:paraId="3878ECC4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Organizator nie dopuszcza składania ofert częściowych. </w:t>
      </w:r>
    </w:p>
    <w:p w14:paraId="121FEA8E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nie dopuszcza składania ofert wariantowych.</w:t>
      </w:r>
    </w:p>
    <w:p w14:paraId="6D760AC5" w14:textId="77777777" w:rsidR="006C4F1C" w:rsidRPr="00BA48A6" w:rsidRDefault="006C4F1C" w:rsidP="006C4F1C">
      <w:pPr>
        <w:pStyle w:val="Akapitzlist"/>
        <w:numPr>
          <w:ilvl w:val="1"/>
          <w:numId w:val="1"/>
        </w:numPr>
        <w:tabs>
          <w:tab w:val="clear" w:pos="1425"/>
          <w:tab w:val="num" w:pos="858"/>
        </w:tabs>
        <w:spacing w:line="360" w:lineRule="auto"/>
        <w:ind w:left="858"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Oferta winna zawierać wskazanie osoby upoważnionej do kontaktów w związku </w:t>
      </w:r>
      <w:r w:rsidRPr="00BA48A6">
        <w:rPr>
          <w:rFonts w:ascii="Arial" w:hAnsi="Arial" w:cs="Arial"/>
          <w:sz w:val="22"/>
          <w:szCs w:val="22"/>
        </w:rPr>
        <w:br/>
        <w:t xml:space="preserve">z postępowaniem, z podaniem numerów telefonów i adresów e-mail. </w:t>
      </w:r>
    </w:p>
    <w:p w14:paraId="648828D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oraz Załączniki, w tym dokumenty będące składnikami oferty muszą być podpisane przez osoby upoważnione do reprezentacji Oferenta i zaciągania na jego rzecz zobowiązań majątkowych, z podaniem ich nazwisk oraz stanowisk służbowych.</w:t>
      </w:r>
    </w:p>
    <w:p w14:paraId="5692C080" w14:textId="6632B24E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240" w:lineRule="auto"/>
        <w:ind w:left="992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lastRenderedPageBreak/>
        <w:t xml:space="preserve">Wynagrodzenie podane przez Oferenta na Formularzu ofertowym winno być wyrażone </w:t>
      </w:r>
      <w:r w:rsidRPr="00BA48A6">
        <w:rPr>
          <w:rFonts w:ascii="Arial" w:hAnsi="Arial" w:cs="Arial"/>
        </w:rPr>
        <w:br/>
        <w:t xml:space="preserve">w pieniądzu [PLN], z dokładnością do dwóch miejsc po przecinku (zgodnie </w:t>
      </w:r>
      <w:r w:rsidRPr="00BA48A6">
        <w:rPr>
          <w:rFonts w:ascii="Arial" w:hAnsi="Arial" w:cs="Arial"/>
        </w:rPr>
        <w:br/>
        <w:t>z matematycznymi zasadami zaokrągleń). Oferent zobowiązany jest wskazać wynagrodzenie w kwocie netto i brutto, zgodnie z wyszczególnieniem zawartym w tabeli Formularza ofertowego, a następnie wynagrodzenie całkowite ryczałtowe za wykonanie przedmiotu postępowania w kwocie</w:t>
      </w:r>
      <w:bookmarkStart w:id="0" w:name="_GoBack"/>
      <w:bookmarkEnd w:id="0"/>
      <w:r w:rsidRPr="00BA48A6">
        <w:rPr>
          <w:rFonts w:ascii="Arial" w:hAnsi="Arial" w:cs="Arial"/>
        </w:rPr>
        <w:t xml:space="preserve"> netto i brutto. Wynagrodzenie ryczałtowe podane przez Oferenta na Formularzu ofertowym winno obejmować wszelkie koszty za wykonanie przedmiotu postępowania (w tym także koszty materiałów i robocizny, sprzętu, urządzeń, ew. transportu, rozładunku, nadzoru, ewentualnych ceł, podatków innych niż VAT, opłat administracyjnych, innych należności płatnych przez Oferenta itp.). 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przyjmuje, iż wiążącym wynagrodzeniem za wykonanie przedmiotu postępowania jest wynagrodzenie całkowite ryczałtowe netto wyrażone słownie.</w:t>
      </w:r>
    </w:p>
    <w:p w14:paraId="56EFE1E3" w14:textId="25895A83" w:rsidR="006C4F1C" w:rsidRPr="00612CBE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612CBE">
        <w:rPr>
          <w:rFonts w:ascii="Arial" w:hAnsi="Arial" w:cs="Arial"/>
        </w:rPr>
        <w:t xml:space="preserve">Ofertę należy złożyć w zamkniętej i opieczętowanej kopercie z napisem: </w:t>
      </w:r>
      <w:r w:rsidRPr="00612CBE">
        <w:rPr>
          <w:rFonts w:ascii="Arial" w:hAnsi="Arial" w:cs="Arial"/>
        </w:rPr>
        <w:br/>
        <w:t>„</w:t>
      </w:r>
      <w:r w:rsidRPr="00612CBE">
        <w:rPr>
          <w:rFonts w:ascii="Arial" w:hAnsi="Arial" w:cs="Arial"/>
          <w:b/>
        </w:rPr>
        <w:t xml:space="preserve">NIE OTWIERAĆ - OFERTA HANDLOWA – </w:t>
      </w:r>
      <w:r w:rsidRPr="00DA368C">
        <w:rPr>
          <w:rFonts w:ascii="Arial" w:hAnsi="Arial" w:cs="Arial"/>
          <w:b/>
          <w:i/>
        </w:rPr>
        <w:t>„</w:t>
      </w:r>
      <w:r w:rsidR="009E4DDF">
        <w:rPr>
          <w:rFonts w:ascii="Arial" w:hAnsi="Arial" w:cs="Arial"/>
          <w:b/>
          <w:i/>
        </w:rPr>
        <w:t>Odkład soku gęstego</w:t>
      </w:r>
      <w:r w:rsidR="00176744">
        <w:rPr>
          <w:rFonts w:ascii="Arial" w:hAnsi="Arial" w:cs="Arial"/>
          <w:b/>
          <w:i/>
        </w:rPr>
        <w:t>”</w:t>
      </w:r>
      <w:r w:rsidRPr="00612CBE">
        <w:rPr>
          <w:rFonts w:ascii="Arial" w:hAnsi="Arial" w:cs="Arial"/>
          <w:b/>
        </w:rPr>
        <w:t>.</w:t>
      </w:r>
    </w:p>
    <w:p w14:paraId="4BB9B72D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powinna zostać opakowana w taki sposób aby nie można było zapoznać się z jej treścią do czasu otwarcia ofert.</w:t>
      </w:r>
    </w:p>
    <w:p w14:paraId="2EB520E6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Na kopercie należy umieścić dane Oferenta oraz adres mailowy do kontaktu z Oferentem w związku z prowadzonym postępowaniem. Skutki związane z nieoznaczeniem koperty we wskazany powyżej sposób ponosi Oferent. </w:t>
      </w:r>
    </w:p>
    <w:p w14:paraId="75BBF271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INFORMACJA O FORMIE SKŁADANYCH PRZEZ OFERENTÓW OŚWIADCZEŃ </w:t>
      </w:r>
      <w:r w:rsidRPr="00BA48A6">
        <w:rPr>
          <w:rFonts w:ascii="Arial" w:hAnsi="Arial" w:cs="Arial"/>
          <w:b/>
        </w:rPr>
        <w:br/>
        <w:t xml:space="preserve">I DOKUMENTÓW </w:t>
      </w:r>
    </w:p>
    <w:p w14:paraId="4650BF8D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składa oświadczenia i dokumenty w oryginale lub w formie kserokopii poświadczonej za zgodność z oryginałem przez osoby upoważnione do składania oświadczeń woli w imieniu Oferenta.</w:t>
      </w:r>
    </w:p>
    <w:p w14:paraId="22D170A5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 przypadku działania Oferenta przez pełnomocnika, należy dołączyć do oferty pełnomocnictwo w oryginale lub kopię pełnomocnictwa potwierdzoną za zgodność z oryginałem w sposób, o którym mowa w pkt. 9.1.</w:t>
      </w:r>
    </w:p>
    <w:p w14:paraId="57DB3D69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</w:rPr>
      </w:pPr>
      <w:r w:rsidRPr="00BA48A6">
        <w:rPr>
          <w:rFonts w:ascii="Arial" w:hAnsi="Arial" w:cs="Arial"/>
          <w:b/>
        </w:rPr>
        <w:t xml:space="preserve">INFORMACJA O SPOSOBIE POROZUMIEWANIA SIĘ </w:t>
      </w:r>
    </w:p>
    <w:p w14:paraId="10CFCC53" w14:textId="77777777" w:rsidR="006C4F1C" w:rsidRPr="00173A09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  <w:i/>
        </w:rPr>
      </w:pPr>
      <w:r w:rsidRPr="00BA48A6">
        <w:rPr>
          <w:rFonts w:ascii="Arial" w:hAnsi="Arial" w:cs="Arial"/>
        </w:rPr>
        <w:t xml:space="preserve">Osobą upoważnioną do kontaktów z Oferentami ze strony Organizatora, do momentu otwarcia ofert jest </w:t>
      </w:r>
      <w:r w:rsidR="00B44DBD" w:rsidRPr="00B44DBD">
        <w:rPr>
          <w:rFonts w:ascii="Arial" w:hAnsi="Arial" w:cs="Arial"/>
          <w:i/>
        </w:rPr>
        <w:t>Maciej Kostka-Szymański</w:t>
      </w:r>
      <w:r w:rsidR="00B44DBD">
        <w:rPr>
          <w:rFonts w:ascii="Arial" w:hAnsi="Arial" w:cs="Arial"/>
        </w:rPr>
        <w:t xml:space="preserve">, </w:t>
      </w:r>
      <w:r w:rsidR="00B44DBD" w:rsidRPr="00BA48A6">
        <w:rPr>
          <w:rFonts w:ascii="Arial" w:hAnsi="Arial" w:cs="Arial"/>
        </w:rPr>
        <w:t>e-mail:</w:t>
      </w:r>
      <w:r w:rsidR="000153FD">
        <w:rPr>
          <w:rFonts w:ascii="Arial" w:hAnsi="Arial" w:cs="Arial"/>
        </w:rPr>
        <w:t xml:space="preserve"> </w:t>
      </w:r>
      <w:r w:rsidR="000153FD" w:rsidRPr="0010260A">
        <w:rPr>
          <w:rFonts w:ascii="Arial" w:hAnsi="Arial" w:cs="Arial"/>
        </w:rPr>
        <w:t xml:space="preserve">maciej.kostka-szymanski@kgssa.pl, </w:t>
      </w:r>
      <w:r w:rsidR="000153FD">
        <w:rPr>
          <w:rFonts w:ascii="Arial" w:hAnsi="Arial" w:cs="Arial"/>
          <w:i/>
        </w:rPr>
        <w:t>k.</w:t>
      </w:r>
      <w:r w:rsidR="000153FD" w:rsidRPr="0086470B">
        <w:rPr>
          <w:rFonts w:ascii="Arial" w:hAnsi="Arial" w:cs="Arial"/>
          <w:i/>
        </w:rPr>
        <w:t>695 650 347</w:t>
      </w:r>
      <w:r>
        <w:rPr>
          <w:rFonts w:ascii="Arial" w:hAnsi="Arial" w:cs="Arial"/>
          <w:i/>
        </w:rPr>
        <w:t>.</w:t>
      </w:r>
    </w:p>
    <w:p w14:paraId="0EDE4434" w14:textId="6ECD4A6C" w:rsidR="006C4F1C" w:rsidRPr="0010260A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może wystosować pytanie do Organizatora dotyczące pr</w:t>
      </w:r>
      <w:r>
        <w:rPr>
          <w:rFonts w:ascii="Arial" w:hAnsi="Arial" w:cs="Arial"/>
        </w:rPr>
        <w:t>zedmiotu postępowania. Pytania o</w:t>
      </w:r>
      <w:r w:rsidRPr="00BA48A6">
        <w:rPr>
          <w:rFonts w:ascii="Arial" w:hAnsi="Arial" w:cs="Arial"/>
        </w:rPr>
        <w:t xml:space="preserve">ferentów powinny być wysyłane </w:t>
      </w:r>
      <w:r w:rsidRPr="007E17BD">
        <w:rPr>
          <w:rFonts w:ascii="Arial" w:hAnsi="Arial" w:cs="Arial"/>
          <w:b/>
        </w:rPr>
        <w:t xml:space="preserve">do dnia </w:t>
      </w:r>
      <w:r w:rsidR="009E4DDF">
        <w:rPr>
          <w:rFonts w:ascii="Arial" w:hAnsi="Arial" w:cs="Arial"/>
          <w:b/>
        </w:rPr>
        <w:t>28.07.2025</w:t>
      </w:r>
      <w:r w:rsidRPr="00BA48A6">
        <w:rPr>
          <w:rFonts w:ascii="Arial" w:hAnsi="Arial" w:cs="Arial"/>
        </w:rPr>
        <w:t xml:space="preserve"> roku, do godziny 12.00 na adres e-mail: </w:t>
      </w:r>
      <w:r w:rsidR="000153FD" w:rsidRPr="0010260A">
        <w:rPr>
          <w:rFonts w:ascii="Arial" w:hAnsi="Arial" w:cs="Arial"/>
        </w:rPr>
        <w:t>maciej.kostka-szymanski@kgssa.pl</w:t>
      </w:r>
      <w:r w:rsidRPr="0010260A">
        <w:rPr>
          <w:rFonts w:ascii="Arial" w:hAnsi="Arial" w:cs="Arial"/>
          <w:lang w:val="en-US"/>
        </w:rPr>
        <w:t xml:space="preserve">, </w:t>
      </w:r>
    </w:p>
    <w:p w14:paraId="7FEB2D45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zastrzega sobie prawo do nieudzielania odpowiedzi na pytania niemieszczące się w zakresie Ogłoszenia lub złożone po terminie wyznaczonym do składania pytań przez Oferentów.</w:t>
      </w:r>
    </w:p>
    <w:p w14:paraId="7C349A9C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Odpowiedzi na pytania będą udzielane za pomocą poczty elektronicznej, na wskazany przez danego Oferenta adres e-mail.</w:t>
      </w:r>
    </w:p>
    <w:p w14:paraId="091C5E44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Wszelkie wnioski, zawiadomienia oraz informacje będą przekazywane przez Organizatora  drogą elektroniczną na wskazane przez Oferentów adresy e-mail.</w:t>
      </w:r>
    </w:p>
    <w:p w14:paraId="2059197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 szczególnie uzasadnionych przypadkach Organizator może w każdym czasie, przed upływem terminu składania ofert zmodyfikować treść Ogłoszenia. Informacja o dokonanej w ten sposób modyfikacji zostanie opublikowana na stronie internetowej Organizatora i dodatkowo przekazana drogą elektroniczną wszystkim Oferentom, którzy przed dokonaniem modyfikacji złożyli oferty z oznaczeniem (na kopercie) adresu e-mail do kontaktów z Oferentem w związku z postępowaniem. W przypadku złożenia przez takiego Oferenta kolejnej oferty, do oferty pierwotnej ma zastosowanie pkt 4.2. niniejszego Ogłoszenia.</w:t>
      </w:r>
    </w:p>
    <w:p w14:paraId="1532BE0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Organizator może przedłużyć termin składania ofert, w szczególności w związku z dokonaną modyfikacją treści Ogłoszenia. Informacja o przedłużeniu terminu składania Ofert zostanie opublikowana na stronie internetowej Organizatora. </w:t>
      </w:r>
    </w:p>
    <w:p w14:paraId="56AFE2AF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ZASADY I TRYB WYBORU OFERTY</w:t>
      </w:r>
    </w:p>
    <w:p w14:paraId="349847DD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Wybór oferty zostanie dokonany spośród ofert niepodlegających odrzuceniu.</w:t>
      </w:r>
    </w:p>
    <w:p w14:paraId="5109BF8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zostanie odrzucona, jeżeli:</w:t>
      </w:r>
    </w:p>
    <w:p w14:paraId="7E057A80" w14:textId="77777777"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lastRenderedPageBreak/>
        <w:t>zostanie złożona po wyznaczonym terminie lub w niewłaściwym miejscu,</w:t>
      </w:r>
    </w:p>
    <w:p w14:paraId="33398640" w14:textId="77777777"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nie będzie zawierała informacji i dokumentów wymaganych w Ogłoszeniu,</w:t>
      </w:r>
    </w:p>
    <w:p w14:paraId="40E00191" w14:textId="77777777"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nie będzie spełniać wymagań i warunków wskazanych w Ogłoszeniu.</w:t>
      </w:r>
    </w:p>
    <w:p w14:paraId="6CA8F9FB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 odrzuceniu oferty 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zawiadamia niezwłocznie Oferenta wskazując przyczynę odrzucenia oferty.</w:t>
      </w:r>
    </w:p>
    <w:p w14:paraId="298AF803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Spośród ofert niepodlegających odrzuceniu zostaną wybrane oferty zakwalifikowane do negocjacji. Celem prowadzonych negocjacji będzie uzyskanie najlepszej oferty dla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 Negocjacje zostaną przeprowadzone tylko z wybranymi Oferentami. </w:t>
      </w:r>
    </w:p>
    <w:p w14:paraId="53595F3C" w14:textId="37CDE22C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Negocjacje z Oferentami planuje się przeprowadzić </w:t>
      </w:r>
      <w:r w:rsidRPr="007E17BD">
        <w:rPr>
          <w:rFonts w:ascii="Arial" w:hAnsi="Arial" w:cs="Arial"/>
          <w:b/>
        </w:rPr>
        <w:t xml:space="preserve">od dnia </w:t>
      </w:r>
      <w:r w:rsidR="0070582B">
        <w:rPr>
          <w:rFonts w:ascii="Arial" w:hAnsi="Arial" w:cs="Arial"/>
          <w:b/>
        </w:rPr>
        <w:t>01</w:t>
      </w:r>
      <w:r w:rsidRPr="007E17BD">
        <w:rPr>
          <w:rFonts w:ascii="Arial" w:hAnsi="Arial" w:cs="Arial"/>
          <w:b/>
        </w:rPr>
        <w:t>.</w:t>
      </w:r>
      <w:r w:rsidR="0070582B">
        <w:rPr>
          <w:rFonts w:ascii="Arial" w:hAnsi="Arial" w:cs="Arial"/>
          <w:b/>
        </w:rPr>
        <w:t>08.2025</w:t>
      </w:r>
      <w:r w:rsidRPr="007E17BD">
        <w:rPr>
          <w:rFonts w:ascii="Arial" w:hAnsi="Arial" w:cs="Arial"/>
          <w:b/>
        </w:rPr>
        <w:t xml:space="preserve"> r.,</w:t>
      </w:r>
      <w:r w:rsidRPr="00BA48A6">
        <w:rPr>
          <w:rFonts w:ascii="Arial" w:hAnsi="Arial" w:cs="Arial"/>
        </w:rPr>
        <w:t xml:space="preserve"> szczegółowy termin </w:t>
      </w:r>
      <w:r w:rsidRPr="00BA48A6">
        <w:rPr>
          <w:rFonts w:ascii="Arial" w:hAnsi="Arial" w:cs="Arial"/>
        </w:rPr>
        <w:br/>
        <w:t>i miejsce przeprowadzenia negocjacji określony zostanie w zaproszeniu do negocjacji.</w:t>
      </w:r>
    </w:p>
    <w:p w14:paraId="26A759F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Po przeprowadzeniu negocjacji Oferenci będą zobowiązani do złożenia ofert końcowych </w:t>
      </w:r>
      <w:r w:rsidRPr="00BA48A6">
        <w:rPr>
          <w:rFonts w:ascii="Arial" w:hAnsi="Arial" w:cs="Arial"/>
        </w:rPr>
        <w:br/>
        <w:t xml:space="preserve">w terminie wskazanym przez Organizatora i zgodnie z wymogami oferty wskazanymi </w:t>
      </w:r>
      <w:r w:rsidRPr="00BA48A6">
        <w:rPr>
          <w:rFonts w:ascii="Arial" w:hAnsi="Arial" w:cs="Arial"/>
        </w:rPr>
        <w:br/>
        <w:t>w niniejszym Ogłoszeniu.</w:t>
      </w:r>
    </w:p>
    <w:p w14:paraId="7D33120C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Oferty końcowe podlegają ponownej ocenie, w takim przypadku Oferent zwolniony jest </w:t>
      </w:r>
      <w:r w:rsidRPr="00BA48A6">
        <w:rPr>
          <w:rFonts w:ascii="Arial" w:hAnsi="Arial" w:cs="Arial"/>
        </w:rPr>
        <w:br/>
        <w:t>z obowiązku ponownego składania dokumentów, o których mowa w punktach 7.1. do 7.12 pod warunkiem, że dane w nich zawarte nie uległy zmianie.</w:t>
      </w:r>
    </w:p>
    <w:p w14:paraId="2B4854D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Zawarcie umowy w wyniku przeprowadzonego postępowania nastąpi po zaakceptowaniu najkorzystniejszej oferty i podjęciu decyzji przez właściwy organ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</w:t>
      </w:r>
    </w:p>
    <w:p w14:paraId="10EB86F6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Oferent, którego oferta zostanie wybrana otrzyma pisemną informację o przyjęciu jego oferty. Pozostali Oferenci zostaną pisemnie powiadomieni o tym, że ich oferty nie zostały wybrane. </w:t>
      </w:r>
    </w:p>
    <w:p w14:paraId="36A55074" w14:textId="77777777" w:rsidR="006C4F1C" w:rsidRPr="00BA48A6" w:rsidRDefault="006C4F1C" w:rsidP="006C4F1C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ZASTRZEŻENIA I INFORMACJE DODATKOWE</w:t>
      </w:r>
    </w:p>
    <w:p w14:paraId="7F0C37BF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Do niniejszego postępowania nie mają zastosowania przepisy ustawy z dnia </w:t>
      </w:r>
      <w:r w:rsidR="00192EFB">
        <w:rPr>
          <w:rFonts w:ascii="Arial" w:hAnsi="Arial" w:cs="Arial"/>
        </w:rPr>
        <w:t>11 września</w:t>
      </w:r>
      <w:r w:rsidRPr="00BA48A6">
        <w:rPr>
          <w:rFonts w:ascii="Arial" w:hAnsi="Arial" w:cs="Arial"/>
        </w:rPr>
        <w:t xml:space="preserve"> </w:t>
      </w:r>
      <w:r w:rsidRPr="00BA48A6">
        <w:rPr>
          <w:rFonts w:ascii="Arial" w:hAnsi="Arial" w:cs="Arial"/>
        </w:rPr>
        <w:br/>
        <w:t>20</w:t>
      </w:r>
      <w:r w:rsidR="00192EFB">
        <w:rPr>
          <w:rFonts w:ascii="Arial" w:hAnsi="Arial" w:cs="Arial"/>
        </w:rPr>
        <w:t>19</w:t>
      </w:r>
      <w:r w:rsidRPr="00BA48A6">
        <w:rPr>
          <w:rFonts w:ascii="Arial" w:hAnsi="Arial" w:cs="Arial"/>
        </w:rPr>
        <w:t xml:space="preserve"> r. Prawo zamówień publicznych. Warunki postępowania zostały określone w niniejszym Ogłoszeniu.</w:t>
      </w:r>
    </w:p>
    <w:p w14:paraId="12C390C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zastrzega sobie prawo do częściowego skorzystania z oferty.</w:t>
      </w:r>
    </w:p>
    <w:p w14:paraId="7395D57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zastrzega sobie prawo do swobodnego wyboru oferty.</w:t>
      </w:r>
    </w:p>
    <w:p w14:paraId="562B38C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bez podania przyczyn może odstąpić od przeprowadzenia postępowania lub przedłużyć termin do składania ofert.</w:t>
      </w:r>
    </w:p>
    <w:p w14:paraId="532D2E23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 przysługuje prawo zamknięcia postępowania na każdym jego etapie bez wybrania którejkolwiek z ofert, bez podania przyczyny.</w:t>
      </w:r>
    </w:p>
    <w:p w14:paraId="074FCF62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 przysługuje prawo unieważnienia postępowania w części lub w całości w każdym czasie bez podania przyczyny.</w:t>
      </w:r>
    </w:p>
    <w:p w14:paraId="1BD38DD6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 tytułu odrzucenia oferty, niedokonania wyboru oferty, odstąpienia od przeprowadzenia postępowania, zamknięcia postępowania bez wyboru oferty lub unieważnienia postępowania, Oferentowi nie przysługują żadne roszczenia przeciwko 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</w:t>
      </w:r>
    </w:p>
    <w:p w14:paraId="1DF51D2A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Złożona w postępowaniu oferta staje się własnością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 Organizator nie ma obowiązku ujawniania jakichkolwiek informacji dotyczących ofert złożonych w postępowaniu.</w:t>
      </w:r>
    </w:p>
    <w:p w14:paraId="5F6CA69A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ponosi wszelkie koszty własne związane z przygotowaniem i złożeniem oferty. Organizator w żadnym przypadku nie odpowiada za koszty ponies</w:t>
      </w:r>
      <w:r w:rsidR="00CE480B">
        <w:rPr>
          <w:rFonts w:ascii="Arial" w:hAnsi="Arial" w:cs="Arial"/>
        </w:rPr>
        <w:t>ione przez Oferenta w związku z</w:t>
      </w:r>
      <w:r w:rsidRPr="00BA48A6">
        <w:rPr>
          <w:rFonts w:ascii="Arial" w:hAnsi="Arial" w:cs="Arial"/>
        </w:rPr>
        <w:t xml:space="preserve"> przygotowaniem i złożeniem oferty. Oferentowi nie przysługują żadne roszczenia z tego tytułu w stosunku do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</w:t>
      </w:r>
    </w:p>
    <w:p w14:paraId="664053AF" w14:textId="77777777" w:rsidR="006C4F1C" w:rsidRPr="00BA48A6" w:rsidRDefault="006C4F1C" w:rsidP="006C4F1C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DODATKOWE  POSTANOWIENIA UMOWY </w:t>
      </w:r>
    </w:p>
    <w:p w14:paraId="4CD75670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134"/>
        </w:tabs>
        <w:overflowPunct/>
        <w:spacing w:after="120"/>
        <w:ind w:left="858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14:paraId="7C1BD5CF" w14:textId="77777777"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BA48A6">
        <w:rPr>
          <w:rFonts w:ascii="Arial" w:hAnsi="Arial" w:cs="Arial"/>
          <w:i/>
          <w:iCs/>
          <w:sz w:val="22"/>
          <w:szCs w:val="22"/>
        </w:rPr>
        <w:t xml:space="preserve"> </w:t>
      </w:r>
      <w:r w:rsidRPr="00BA48A6">
        <w:rPr>
          <w:rFonts w:ascii="Arial" w:hAnsi="Arial" w:cs="Arial"/>
          <w:iCs/>
          <w:sz w:val="22"/>
          <w:szCs w:val="22"/>
        </w:rPr>
        <w:t xml:space="preserve">w wysokości </w:t>
      </w:r>
      <w:r w:rsidRPr="00BA48A6">
        <w:rPr>
          <w:rFonts w:ascii="Arial" w:hAnsi="Arial" w:cs="Arial"/>
          <w:sz w:val="22"/>
          <w:szCs w:val="22"/>
        </w:rPr>
        <w:t>nie mniej niż 0,</w:t>
      </w:r>
      <w:r>
        <w:rPr>
          <w:rFonts w:ascii="Arial" w:hAnsi="Arial" w:cs="Arial"/>
          <w:sz w:val="22"/>
          <w:szCs w:val="22"/>
        </w:rPr>
        <w:t>5</w:t>
      </w:r>
      <w:r w:rsidRPr="00BA48A6">
        <w:rPr>
          <w:rFonts w:ascii="Arial" w:hAnsi="Arial" w:cs="Arial"/>
          <w:sz w:val="22"/>
          <w:szCs w:val="22"/>
        </w:rPr>
        <w:t xml:space="preserve"> % wynagrodzenia ryczałtowego całkowitego za każdy dzień opóźnienia,</w:t>
      </w:r>
    </w:p>
    <w:p w14:paraId="52E65F35" w14:textId="77777777"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Pr="00BA48A6">
        <w:rPr>
          <w:rFonts w:ascii="Arial" w:hAnsi="Arial" w:cs="Arial"/>
          <w:sz w:val="22"/>
          <w:szCs w:val="22"/>
        </w:rPr>
        <w:br/>
        <w:t>0,</w:t>
      </w:r>
      <w:r>
        <w:rPr>
          <w:rFonts w:ascii="Arial" w:hAnsi="Arial" w:cs="Arial"/>
          <w:sz w:val="22"/>
          <w:szCs w:val="22"/>
        </w:rPr>
        <w:t>5</w:t>
      </w:r>
      <w:r w:rsidRPr="00BA48A6">
        <w:rPr>
          <w:rFonts w:ascii="Arial" w:hAnsi="Arial" w:cs="Arial"/>
          <w:sz w:val="22"/>
          <w:szCs w:val="22"/>
        </w:rPr>
        <w:t xml:space="preserve"> % wynagrodzenia ryczałtowego całkowitego za każdy dzień opóźnienia,</w:t>
      </w:r>
    </w:p>
    <w:p w14:paraId="6ADF5B94" w14:textId="4DDAD65E"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lastRenderedPageBreak/>
        <w:t>odstąpienia od umowy przez Zamawiającego z przyczyn dotyczących Wykonawcy - w wysokości nie mniej niż 10 % wynagrodzenia ryczałtowego całkowitego</w:t>
      </w:r>
      <w:r w:rsidR="00841378">
        <w:rPr>
          <w:rFonts w:ascii="Arial" w:hAnsi="Arial" w:cs="Arial"/>
          <w:sz w:val="22"/>
          <w:szCs w:val="22"/>
        </w:rPr>
        <w:t>.</w:t>
      </w:r>
    </w:p>
    <w:p w14:paraId="15C9291D" w14:textId="77777777" w:rsidR="006C4F1C" w:rsidRPr="00BA48A6" w:rsidRDefault="006C4F1C" w:rsidP="006C4F1C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</w:rPr>
      </w:pPr>
      <w:r w:rsidRPr="00BA48A6">
        <w:rPr>
          <w:rFonts w:ascii="Arial" w:hAnsi="Arial" w:cs="Arial"/>
          <w:i/>
        </w:rPr>
        <w:t>Szczegółowe uzgodnienia w zakresie przypadków nałożenia na Wykonawcę kar umownych, jak i ich ostateczna wysokość będą przedmiotem negocjacji.</w:t>
      </w:r>
    </w:p>
    <w:p w14:paraId="613B0A2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3102A64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4DB2FA7E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14:paraId="66408CC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Język umowy polski i właściwe prawo polskie.</w:t>
      </w:r>
    </w:p>
    <w:p w14:paraId="5565F321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Właściwy do rozstrzygania sporów Sąd powszechny w Toruniu.  </w:t>
      </w:r>
    </w:p>
    <w:p w14:paraId="432D195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Sposób i terminy płatności wynagrodzenia powiązane będą ściśle z ustalonym harmonogramem realizacji inwestycji oraz okresem rozliczeniowym Zamawiającego (rokiem obrotowym), który trwa od 1 października do 30 września kolejnego roku. Zamawiający nie dopuszcza możliwości zapłaty Wykonawcy zaliczki.</w:t>
      </w:r>
    </w:p>
    <w:p w14:paraId="34323570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14:paraId="0538D5D2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Obowiązkiem Wykonawcy będzie odbiór robót od podwykonawców i dostawców. W odbiorach może brać udział Zamawiający, który będzie informowany o ich terminie przez Wykonawcę z odpowiednim wyprzedzeniem.</w:t>
      </w:r>
    </w:p>
    <w:p w14:paraId="706F7B61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obowiązku, Zamawiający będzie miał prawo wstrzymać bieżące płatności.</w:t>
      </w:r>
    </w:p>
    <w:p w14:paraId="7FDD2AE0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14:paraId="62C2D047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5 % wynagrodzenia netto Wykonawcy określonego </w:t>
      </w:r>
      <w:r w:rsidRPr="00BA48A6">
        <w:rPr>
          <w:rFonts w:ascii="Arial" w:hAnsi="Arial" w:cs="Arial"/>
          <w:sz w:val="22"/>
          <w:szCs w:val="22"/>
        </w:rPr>
        <w:br/>
        <w:t>w  Umowie.</w:t>
      </w:r>
    </w:p>
    <w:p w14:paraId="66BD2C33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miał obowiązek posiadać ubezpieczenie działalności od odpowiedzialności cywilnej, z sumą ubezpieczenia w kwocie </w:t>
      </w:r>
      <w:r w:rsidRPr="00BA48A6">
        <w:rPr>
          <w:rFonts w:ascii="Arial" w:hAnsi="Arial" w:cs="Arial"/>
          <w:i/>
          <w:sz w:val="22"/>
          <w:szCs w:val="22"/>
        </w:rPr>
        <w:t>nie niższej niż wartość przedmiotu postępowania</w:t>
      </w:r>
      <w:r w:rsidRPr="00BA48A6">
        <w:rPr>
          <w:rFonts w:ascii="Arial" w:hAnsi="Arial" w:cs="Arial"/>
          <w:sz w:val="22"/>
          <w:szCs w:val="22"/>
        </w:rPr>
        <w:t>. Kopia polisy będzie stanowić Załącznik do Umowy.</w:t>
      </w:r>
    </w:p>
    <w:p w14:paraId="02559CC3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i Zamawiający zobowiązani będą do udostępniania sobie nawzajem danych osobowych podmiotów z nimi współpracujących, osób odpowiedzialnych za wykonanie umowy,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14:paraId="296B9E76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zobowiązany będzie wypełnić w imieniu Zamawiającego obowiązek  informacyjny wynikający z art. 14 RODO i poinformować odpowiednie osoby o przetwarzaniu ich danych osobowych przez Zamawiającego w związku z wykonaniem umowy.</w:t>
      </w:r>
    </w:p>
    <w:p w14:paraId="20AAE27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Pr="00BA48A6">
        <w:rPr>
          <w:rFonts w:ascii="Arial" w:hAnsi="Arial" w:cs="Arial"/>
          <w:sz w:val="22"/>
          <w:szCs w:val="22"/>
        </w:rPr>
        <w:br/>
        <w:t>z wiedzą, normami budowlanymi, przepisami prawa i z najwyższą profesjonalną starannością z wykorzystaniem materiałów właściwych dla tych celów, Polskimi normami, unijnymi aktami prawnymi, zasadami wiedzy technicznej.</w:t>
      </w:r>
    </w:p>
    <w:p w14:paraId="56BFF382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Wszystkie ewentualne niezbędne uzgodnienia administracyjne wymagane polskimi przepisami prawa związane z realizacją przedmiotu umowy będą obowiązkiem Wykonawcy. Dotyczy to również odbiorów powykonawczych i odbiorów UDT. </w:t>
      </w:r>
    </w:p>
    <w:p w14:paraId="1CEDA61C" w14:textId="77777777" w:rsidR="006C4F1C" w:rsidRPr="00BA48A6" w:rsidRDefault="006C4F1C" w:rsidP="006C4F1C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640A3884" w14:textId="77777777" w:rsidR="006C4F1C" w:rsidRPr="00BA48A6" w:rsidRDefault="006C4F1C" w:rsidP="006C4F1C">
      <w:pPr>
        <w:spacing w:after="120"/>
        <w:rPr>
          <w:rFonts w:ascii="Arial" w:hAnsi="Arial" w:cs="Arial"/>
        </w:rPr>
      </w:pPr>
    </w:p>
    <w:sectPr w:rsidR="006C4F1C" w:rsidRPr="00BA48A6" w:rsidSect="00BB1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AFAA3" w14:textId="77777777" w:rsidR="00FF7652" w:rsidRDefault="00FF7652" w:rsidP="004B24D0">
      <w:pPr>
        <w:spacing w:after="0" w:line="240" w:lineRule="auto"/>
      </w:pPr>
      <w:r>
        <w:separator/>
      </w:r>
    </w:p>
  </w:endnote>
  <w:endnote w:type="continuationSeparator" w:id="0">
    <w:p w14:paraId="384E0834" w14:textId="77777777" w:rsidR="00FF7652" w:rsidRDefault="00FF7652" w:rsidP="004B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87DB2" w14:textId="77777777" w:rsidR="00FF7652" w:rsidRDefault="00FF7652" w:rsidP="004B24D0">
      <w:pPr>
        <w:spacing w:after="0" w:line="240" w:lineRule="auto"/>
      </w:pPr>
      <w:r>
        <w:separator/>
      </w:r>
    </w:p>
  </w:footnote>
  <w:footnote w:type="continuationSeparator" w:id="0">
    <w:p w14:paraId="68A3656F" w14:textId="77777777" w:rsidR="00FF7652" w:rsidRDefault="00FF7652" w:rsidP="004B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8E431FD"/>
    <w:multiLevelType w:val="hybridMultilevel"/>
    <w:tmpl w:val="466886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43A4A"/>
    <w:multiLevelType w:val="multilevel"/>
    <w:tmpl w:val="725824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00"/>
        </w:tabs>
        <w:ind w:left="1000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A0105"/>
    <w:multiLevelType w:val="multilevel"/>
    <w:tmpl w:val="E050F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423FA"/>
    <w:multiLevelType w:val="hybridMultilevel"/>
    <w:tmpl w:val="D196E8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20"/>
  </w:num>
  <w:num w:numId="19">
    <w:abstractNumId w:val="22"/>
  </w:num>
  <w:num w:numId="20">
    <w:abstractNumId w:val="11"/>
  </w:num>
  <w:num w:numId="21">
    <w:abstractNumId w:val="9"/>
  </w:num>
  <w:num w:numId="22">
    <w:abstractNumId w:val="18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in Spyt">
    <w15:presenceInfo w15:providerId="AD" w15:userId="S::marcin.spyt@gemini.pl::6a979a41-3657-4966-98ce-76b920aedb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F"/>
    <w:rsid w:val="000153FD"/>
    <w:rsid w:val="00037907"/>
    <w:rsid w:val="0005293C"/>
    <w:rsid w:val="00055FD9"/>
    <w:rsid w:val="00064224"/>
    <w:rsid w:val="0008712F"/>
    <w:rsid w:val="000D6259"/>
    <w:rsid w:val="000F0DD2"/>
    <w:rsid w:val="000F3859"/>
    <w:rsid w:val="00100914"/>
    <w:rsid w:val="0010260A"/>
    <w:rsid w:val="001236A3"/>
    <w:rsid w:val="001265FC"/>
    <w:rsid w:val="00140BAB"/>
    <w:rsid w:val="00144F97"/>
    <w:rsid w:val="00146D24"/>
    <w:rsid w:val="00160AD9"/>
    <w:rsid w:val="00176744"/>
    <w:rsid w:val="00180C3D"/>
    <w:rsid w:val="00192500"/>
    <w:rsid w:val="00192EFB"/>
    <w:rsid w:val="00195BD8"/>
    <w:rsid w:val="001D5694"/>
    <w:rsid w:val="00240311"/>
    <w:rsid w:val="002618DC"/>
    <w:rsid w:val="00277EE7"/>
    <w:rsid w:val="00292031"/>
    <w:rsid w:val="00295518"/>
    <w:rsid w:val="002A767C"/>
    <w:rsid w:val="002D0E58"/>
    <w:rsid w:val="00302655"/>
    <w:rsid w:val="0031025E"/>
    <w:rsid w:val="00312608"/>
    <w:rsid w:val="00317339"/>
    <w:rsid w:val="003A66F9"/>
    <w:rsid w:val="003C21AE"/>
    <w:rsid w:val="003E4841"/>
    <w:rsid w:val="003F6378"/>
    <w:rsid w:val="00402BC4"/>
    <w:rsid w:val="0040478D"/>
    <w:rsid w:val="00405F11"/>
    <w:rsid w:val="00412FD4"/>
    <w:rsid w:val="00447C62"/>
    <w:rsid w:val="00450D39"/>
    <w:rsid w:val="00451D6E"/>
    <w:rsid w:val="00456184"/>
    <w:rsid w:val="00491A60"/>
    <w:rsid w:val="004A660C"/>
    <w:rsid w:val="004B24D0"/>
    <w:rsid w:val="004D07E7"/>
    <w:rsid w:val="005047D3"/>
    <w:rsid w:val="005234D5"/>
    <w:rsid w:val="0059490A"/>
    <w:rsid w:val="005B3588"/>
    <w:rsid w:val="005C7A70"/>
    <w:rsid w:val="005F0E17"/>
    <w:rsid w:val="00617A87"/>
    <w:rsid w:val="0063057F"/>
    <w:rsid w:val="00674C6B"/>
    <w:rsid w:val="006939A4"/>
    <w:rsid w:val="006A535D"/>
    <w:rsid w:val="006B0749"/>
    <w:rsid w:val="006B7E22"/>
    <w:rsid w:val="006C2573"/>
    <w:rsid w:val="006C4F1C"/>
    <w:rsid w:val="0070582B"/>
    <w:rsid w:val="007063B0"/>
    <w:rsid w:val="007077C0"/>
    <w:rsid w:val="00727595"/>
    <w:rsid w:val="0074307C"/>
    <w:rsid w:val="007579BF"/>
    <w:rsid w:val="0076181A"/>
    <w:rsid w:val="00791FED"/>
    <w:rsid w:val="007A21A7"/>
    <w:rsid w:val="007E0BFB"/>
    <w:rsid w:val="007E17BD"/>
    <w:rsid w:val="007E509C"/>
    <w:rsid w:val="00837144"/>
    <w:rsid w:val="00841378"/>
    <w:rsid w:val="00854FBA"/>
    <w:rsid w:val="0086470B"/>
    <w:rsid w:val="00893859"/>
    <w:rsid w:val="008A3E8C"/>
    <w:rsid w:val="008D29C9"/>
    <w:rsid w:val="008E7CA1"/>
    <w:rsid w:val="00903206"/>
    <w:rsid w:val="0091588C"/>
    <w:rsid w:val="0093700C"/>
    <w:rsid w:val="00947D9D"/>
    <w:rsid w:val="00963044"/>
    <w:rsid w:val="009774E9"/>
    <w:rsid w:val="00987776"/>
    <w:rsid w:val="009A2A7A"/>
    <w:rsid w:val="009A3F66"/>
    <w:rsid w:val="009B0179"/>
    <w:rsid w:val="009B639D"/>
    <w:rsid w:val="009E4DDF"/>
    <w:rsid w:val="009F397F"/>
    <w:rsid w:val="00A40F43"/>
    <w:rsid w:val="00A431CC"/>
    <w:rsid w:val="00A50ADE"/>
    <w:rsid w:val="00A518B2"/>
    <w:rsid w:val="00A707F5"/>
    <w:rsid w:val="00AA6896"/>
    <w:rsid w:val="00AB7091"/>
    <w:rsid w:val="00AC21E8"/>
    <w:rsid w:val="00AD4200"/>
    <w:rsid w:val="00B21634"/>
    <w:rsid w:val="00B266D3"/>
    <w:rsid w:val="00B44DBD"/>
    <w:rsid w:val="00B767DA"/>
    <w:rsid w:val="00B879D1"/>
    <w:rsid w:val="00BB114F"/>
    <w:rsid w:val="00BD43AC"/>
    <w:rsid w:val="00BD78DE"/>
    <w:rsid w:val="00BE5BB7"/>
    <w:rsid w:val="00C24815"/>
    <w:rsid w:val="00C82553"/>
    <w:rsid w:val="00C86BC4"/>
    <w:rsid w:val="00C95DA1"/>
    <w:rsid w:val="00CB7ACC"/>
    <w:rsid w:val="00CE480B"/>
    <w:rsid w:val="00CE4E06"/>
    <w:rsid w:val="00CE5A58"/>
    <w:rsid w:val="00CF6F7A"/>
    <w:rsid w:val="00CF7DF5"/>
    <w:rsid w:val="00D42EDB"/>
    <w:rsid w:val="00D51ABD"/>
    <w:rsid w:val="00DF76D0"/>
    <w:rsid w:val="00E85AA0"/>
    <w:rsid w:val="00E86656"/>
    <w:rsid w:val="00E97FCC"/>
    <w:rsid w:val="00EB3491"/>
    <w:rsid w:val="00ED26C1"/>
    <w:rsid w:val="00F1122B"/>
    <w:rsid w:val="00F4665F"/>
    <w:rsid w:val="00FE0B7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114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1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24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4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4B24D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4B24D0"/>
    <w:pPr>
      <w:keepNext/>
      <w:numPr>
        <w:numId w:val="6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4B24D0"/>
    <w:pPr>
      <w:numPr>
        <w:ilvl w:val="1"/>
        <w:numId w:val="6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4B24D0"/>
    <w:pPr>
      <w:numPr>
        <w:ilvl w:val="2"/>
        <w:numId w:val="6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4B24D0"/>
    <w:pPr>
      <w:numPr>
        <w:ilvl w:val="3"/>
        <w:numId w:val="6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4B24D0"/>
    <w:pPr>
      <w:numPr>
        <w:ilvl w:val="4"/>
        <w:numId w:val="6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4B24D0"/>
    <w:pPr>
      <w:numPr>
        <w:ilvl w:val="5"/>
        <w:numId w:val="6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4B24D0"/>
    <w:pPr>
      <w:numPr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4B24D0"/>
    <w:pPr>
      <w:numPr>
        <w:ilvl w:val="6"/>
        <w:numId w:val="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4B24D0"/>
    <w:pPr>
      <w:numPr>
        <w:ilvl w:val="7"/>
        <w:numId w:val="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4B24D0"/>
    <w:pPr>
      <w:numPr>
        <w:ilvl w:val="8"/>
        <w:numId w:val="6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shorttext">
    <w:name w:val="short_text"/>
    <w:basedOn w:val="Domylnaczcionkaakapitu"/>
    <w:rsid w:val="004B24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4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4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7FC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C2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114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1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24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4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4B24D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4B24D0"/>
    <w:pPr>
      <w:keepNext/>
      <w:numPr>
        <w:numId w:val="6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4B24D0"/>
    <w:pPr>
      <w:numPr>
        <w:ilvl w:val="1"/>
        <w:numId w:val="6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4B24D0"/>
    <w:pPr>
      <w:numPr>
        <w:ilvl w:val="2"/>
        <w:numId w:val="6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4B24D0"/>
    <w:pPr>
      <w:numPr>
        <w:ilvl w:val="3"/>
        <w:numId w:val="6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4B24D0"/>
    <w:pPr>
      <w:numPr>
        <w:ilvl w:val="4"/>
        <w:numId w:val="6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4B24D0"/>
    <w:pPr>
      <w:numPr>
        <w:ilvl w:val="5"/>
        <w:numId w:val="6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4B24D0"/>
    <w:pPr>
      <w:numPr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4B24D0"/>
    <w:pPr>
      <w:numPr>
        <w:ilvl w:val="6"/>
        <w:numId w:val="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4B24D0"/>
    <w:pPr>
      <w:numPr>
        <w:ilvl w:val="7"/>
        <w:numId w:val="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4B24D0"/>
    <w:pPr>
      <w:numPr>
        <w:ilvl w:val="8"/>
        <w:numId w:val="6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shorttext">
    <w:name w:val="short_text"/>
    <w:basedOn w:val="Domylnaczcionkaakapitu"/>
    <w:rsid w:val="004B24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4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4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7FC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6842-A664-489D-A973-A4F6212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Ostęp</dc:creator>
  <cp:lastModifiedBy>Maciej Kostka-Szymański</cp:lastModifiedBy>
  <cp:revision>5</cp:revision>
  <cp:lastPrinted>2024-12-02T09:23:00Z</cp:lastPrinted>
  <dcterms:created xsi:type="dcterms:W3CDTF">2025-07-07T13:33:00Z</dcterms:created>
  <dcterms:modified xsi:type="dcterms:W3CDTF">2025-07-08T05:03:00Z</dcterms:modified>
</cp:coreProperties>
</file>